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1EE1" w:rsidRPr="00CA1EE1" w:rsidRDefault="00CA1EE1" w:rsidP="00CA1EE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  <w:proofErr w:type="spellEnd"/>
      <w:r w:rsidRPr="00CA1EE1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:rsidR="00CA1EE1" w:rsidRPr="00CA1EE1" w:rsidRDefault="00CA1EE1" w:rsidP="00CA1E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Збір</w:t>
      </w:r>
      <w:proofErr w:type="spellEnd"/>
      <w:r w:rsidRPr="00CA1EE1">
        <w:rPr>
          <w:rFonts w:ascii="Times New Roman" w:hAnsi="Times New Roman" w:cs="Times New Roman"/>
          <w:b/>
          <w:bCs/>
          <w:sz w:val="28"/>
          <w:szCs w:val="28"/>
        </w:rPr>
        <w:t xml:space="preserve"> та аналіз </w:t>
      </w: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інформації</w:t>
      </w:r>
      <w:proofErr w:type="spellEnd"/>
      <w:r w:rsidRPr="00CA1EE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отриманої</w:t>
      </w:r>
      <w:proofErr w:type="spellEnd"/>
      <w:r w:rsidRPr="00CA1E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під</w:t>
      </w:r>
      <w:proofErr w:type="spellEnd"/>
      <w:r w:rsidRPr="00CA1EE1">
        <w:rPr>
          <w:rFonts w:ascii="Times New Roman" w:hAnsi="Times New Roman" w:cs="Times New Roman"/>
          <w:b/>
          <w:bCs/>
          <w:sz w:val="28"/>
          <w:szCs w:val="28"/>
        </w:rPr>
        <w:t xml:space="preserve"> час </w:t>
      </w: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опитування</w:t>
      </w:r>
      <w:proofErr w:type="spellEnd"/>
      <w:r w:rsidRPr="00CA1EE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спостереження</w:t>
      </w:r>
      <w:proofErr w:type="spellEnd"/>
      <w:r w:rsidRPr="00CA1EE1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вивчення</w:t>
      </w:r>
      <w:proofErr w:type="spellEnd"/>
      <w:r w:rsidRPr="00CA1E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b/>
          <w:bCs/>
          <w:sz w:val="28"/>
          <w:szCs w:val="28"/>
        </w:rPr>
        <w:t>документації</w:t>
      </w:r>
      <w:proofErr w:type="spellEnd"/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самооцінювання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: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індивідуальне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, фокус-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групове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);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освітнім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середовищем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проведенням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режимних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моментів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);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релевантної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всебічного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об’єктивного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самооцінювання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застосовуватися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оброблення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письмовим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усним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).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 xml:space="preserve">Анкетування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закладу.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 xml:space="preserve">Анкетування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(бланка)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автоматизоване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оброблення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закритого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відкритого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напівзакритого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комбінованими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закритого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полегшує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обмежують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певними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рамками.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мета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тому,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зворотній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рекомендовано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опитати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закритого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типу.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lastRenderedPageBreak/>
        <w:t>Якщо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мета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глибокому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аналізі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ставлень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настроїв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узагальненні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Комбіновані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оптимально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поєднати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кількісного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в одному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опитувальнику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Індивідуальне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конкретизовану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особи до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Індивідуальне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структурованим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неструктурованим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напівструктурованим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Неструктуроване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розгорнутої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Розкажіть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будь ласка,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роботу з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 день?»).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детально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кожного респондента з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окремого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протокольну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фіксацію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для детального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одержаної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Структуроване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проводиться за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підготовленим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планом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розмови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низку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запитань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чіткі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застосовуєте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?»).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зібрати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Фіксація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 бланках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підготовлених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формах.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Напівструктуроване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орієнтовного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розмови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модифікований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респондента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Фіксація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структурованого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неструктурованого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Групове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(фокус-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групове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співбесіди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визначену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тему з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6 до 12).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спілкуються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собою, а модератор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спрямовує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дискусію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охопити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заявлену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тему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висловитися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Фіксація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організатором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фокус-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третьою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особою.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інтерв’юер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фіксацію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вона буде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виду і типу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).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lastRenderedPageBreak/>
        <w:t>Спостереження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здійснюватись за станом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проведенням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організованих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 станом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зафіксувати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матеріально-технічної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санітарно-гігієнічних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норм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дієвість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булінгу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цькуванню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культуру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взаємовідносин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директора, вихователя-методиста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самооцінювання, до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 станом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проведенням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організованих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потреби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звернути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компетентностей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;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доброти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дружби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краси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 xml:space="preserve">-роботу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видах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ігрова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художньо-естетична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.);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інформаційно-комунікаційних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;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комунікацію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;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потребами (у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).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обґрунтованих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задокументованих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1EE1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lastRenderedPageBreak/>
        <w:t>визначення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викладенні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чіткості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віковим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індивідуальним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особливостям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різноманітності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протоколів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одержати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ухвалених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педагогічною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закладу, 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оперативним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і потребам,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напрямам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актуальних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системності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самооцінювання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одержана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узагальнюється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об’єктивного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самоцінювання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узагальнена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зіставляється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описом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/правил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закладом.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Здійснюючи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самооцінювання, заклад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/правила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Маючи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автономію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, заклад</w:t>
      </w:r>
      <w:r w:rsidRPr="00CA1EE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самооцінювання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запроваджує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самооцінювання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самооцінювання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обговорюються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lastRenderedPageBreak/>
        <w:t>представниками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батьківської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залучатися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засновника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експерти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оприлюднює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самооцінювання. Вони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включаються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річного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оприлюднюється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30 Закону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».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отримана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час самооцінювання,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використана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цілях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: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;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пріоритетних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;</w:t>
      </w:r>
    </w:p>
    <w:p w:rsidR="00CA1EE1" w:rsidRPr="00CA1EE1" w:rsidRDefault="00CA1EE1" w:rsidP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 і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корегування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 (у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потреби);</w:t>
      </w:r>
    </w:p>
    <w:p w:rsidR="00D712CC" w:rsidRPr="00CA1EE1" w:rsidRDefault="00CA1EE1">
      <w:pPr>
        <w:rPr>
          <w:rFonts w:ascii="Times New Roman" w:hAnsi="Times New Roman" w:cs="Times New Roman"/>
          <w:sz w:val="28"/>
          <w:szCs w:val="28"/>
        </w:rPr>
      </w:pPr>
      <w:r w:rsidRPr="00CA1E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динаміки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педагогічними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, батьками (шляхом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співставлення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Pr="00CA1EE1">
        <w:rPr>
          <w:rFonts w:ascii="Times New Roman" w:hAnsi="Times New Roman" w:cs="Times New Roman"/>
          <w:sz w:val="28"/>
          <w:szCs w:val="28"/>
        </w:rPr>
        <w:t>часників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E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CA1EE1">
        <w:rPr>
          <w:rFonts w:ascii="Times New Roman" w:hAnsi="Times New Roman" w:cs="Times New Roman"/>
          <w:sz w:val="28"/>
          <w:szCs w:val="28"/>
        </w:rPr>
        <w:t>).</w:t>
      </w:r>
    </w:p>
    <w:sectPr w:rsidR="00D712CC" w:rsidRPr="00CA1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E1"/>
    <w:rsid w:val="00CA1EE1"/>
    <w:rsid w:val="00D7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556B"/>
  <w15:chartTrackingRefBased/>
  <w15:docId w15:val="{95FC0969-1964-4725-8895-DA52F0D8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1303</Words>
  <Characters>7430</Characters>
  <Application>Microsoft Office Word</Application>
  <DocSecurity>0</DocSecurity>
  <Lines>61</Lines>
  <Paragraphs>17</Paragraphs>
  <ScaleCrop>false</ScaleCrop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2022-02-22T06:51:00Z</dcterms:created>
  <dcterms:modified xsi:type="dcterms:W3CDTF">2022-02-22T06:54:00Z</dcterms:modified>
</cp:coreProperties>
</file>